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836A483"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BD08D6">
        <w:rPr>
          <w:rFonts w:ascii="ＭＳ 明朝" w:hAnsi="ＭＳ 明朝" w:cs="ＭＳ 明朝" w:hint="eastAsia"/>
          <w:kern w:val="0"/>
          <w:szCs w:val="21"/>
        </w:rPr>
        <w:t>四国経済産業局</w:t>
      </w:r>
      <w:r w:rsidR="00EF3E8E" w:rsidRPr="000B5128">
        <w:rPr>
          <w:rFonts w:ascii="ＭＳ 明朝" w:hAnsi="ＭＳ 明朝" w:cs="ＭＳ 明朝" w:hint="eastAsia"/>
          <w:kern w:val="0"/>
          <w:szCs w:val="21"/>
        </w:rPr>
        <w:t>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09EB1164"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 xml:space="preserve">第１条　</w:t>
      </w:r>
      <w:r w:rsidR="00BD08D6">
        <w:rPr>
          <w:rFonts w:ascii="ＭＳ 明朝" w:hAnsi="ＭＳ 明朝" w:cs="ＭＳ 明朝" w:hint="eastAsia"/>
          <w:kern w:val="0"/>
          <w:szCs w:val="21"/>
        </w:rPr>
        <w:t>四国経済産業局</w:t>
      </w:r>
      <w:r w:rsidRPr="000B5128">
        <w:rPr>
          <w:rFonts w:ascii="ＭＳ 明朝" w:hAnsi="ＭＳ 明朝" w:cs="ＭＳ 明朝" w:hint="eastAsia"/>
          <w:kern w:val="0"/>
          <w:szCs w:val="21"/>
        </w:rPr>
        <w:t>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171D5C4F"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BD08D6">
        <w:rPr>
          <w:rFonts w:ascii="ＭＳ 明朝" w:hAnsi="ＭＳ 明朝" w:hint="eastAsia"/>
          <w:kern w:val="0"/>
          <w:szCs w:val="21"/>
        </w:rPr>
        <w:t>四国経済産業局</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E97AA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1B73DED8"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4738B3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0FB6055"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D44905C" w14:textId="26AB755F"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0FD47E1E"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BD08D6">
        <w:rPr>
          <w:rFonts w:hAnsi="ＭＳ 明朝" w:cs="ＭＳ 明朝" w:hint="eastAsia"/>
          <w:color w:val="000000"/>
          <w:kern w:val="0"/>
        </w:rPr>
        <w:t>四国経済産業局</w:t>
      </w:r>
      <w:r w:rsidRPr="00FB42AB">
        <w:rPr>
          <w:rFonts w:hAnsi="ＭＳ 明朝" w:cs="ＭＳ 明朝" w:hint="eastAsia"/>
          <w:color w:val="000000"/>
          <w:kern w:val="0"/>
        </w:rPr>
        <w:t>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23ABC989"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A61688">
        <w:rPr>
          <w:rFonts w:ascii="ＭＳ 明朝" w:hAnsi="ＭＳ 明朝" w:cs="ＭＳ 明朝" w:hint="eastAsia"/>
          <w:kern w:val="0"/>
          <w:szCs w:val="21"/>
        </w:rPr>
        <w:t>四国経済産業局</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326CB455"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A61688">
        <w:rPr>
          <w:rFonts w:ascii="ＭＳ 明朝" w:hAnsi="ＭＳ 明朝" w:cs="ＭＳ 明朝" w:hint="eastAsia"/>
          <w:kern w:val="0"/>
          <w:szCs w:val="21"/>
        </w:rPr>
        <w:t>四国経済産業局</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5029521E" w14:textId="64F22B22"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A61688">
        <w:rPr>
          <w:rFonts w:ascii="ＭＳ 明朝" w:hAnsi="ＭＳ 明朝" w:cs="ＭＳ 明朝" w:hint="eastAsia"/>
          <w:kern w:val="0"/>
          <w:szCs w:val="21"/>
        </w:rPr>
        <w:t>四国経済産業局</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40"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bookmarkStart w:id="2" w:name="_Hlk190093217"/>
      <w:r>
        <w:rPr>
          <w:rFonts w:ascii="ＭＳ 明朝" w:hAnsi="ＭＳ 明朝" w:cs="ＭＳ 明朝"/>
          <w:noProof/>
          <w:kern w:val="0"/>
          <w:szCs w:val="21"/>
        </w:rPr>
        <w:lastRenderedPageBreak/>
        <mc:AlternateContent>
          <mc:Choice Requires="wps">
            <w:drawing>
              <wp:anchor distT="0" distB="0" distL="114300" distR="114300" simplePos="0" relativeHeight="251654144"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3352425F"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BD08D6">
        <w:rPr>
          <w:rFonts w:ascii="ＭＳ 明朝" w:hAnsi="ＭＳ 明朝"/>
          <w:lang w:eastAsia="zh-TW"/>
        </w:rPr>
        <w:t>四国経済産業局総務企画部長</w:t>
      </w:r>
      <w:r w:rsidRPr="00F5702D">
        <w:rPr>
          <w:rFonts w:ascii="ＭＳ 明朝" w:hAnsi="ＭＳ 明朝"/>
          <w:lang w:eastAsia="zh-TW"/>
        </w:rPr>
        <w:t xml:space="preserve">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3D87FE3D"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w:t>
      </w:r>
      <w:r w:rsidR="00BD08D6">
        <w:rPr>
          <w:rFonts w:ascii="ＭＳ 明朝" w:hAnsi="ＭＳ 明朝"/>
          <w:lang w:eastAsia="zh-TW"/>
        </w:rPr>
        <w:t>四国経済産業局総務企画部長</w:t>
      </w:r>
      <w:r w:rsidRPr="00F5702D">
        <w:rPr>
          <w:rFonts w:ascii="ＭＳ 明朝" w:hAnsi="ＭＳ 明朝"/>
          <w:lang w:eastAsia="zh-TW"/>
        </w:rPr>
        <w:t xml:space="preserve">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tcPr>
          <w:p w14:paraId="1E3BFAF7" w14:textId="77777777" w:rsidR="0051765B" w:rsidRPr="0033250F" w:rsidRDefault="0051765B" w:rsidP="00D7074E">
            <w:pPr>
              <w:spacing w:line="269" w:lineRule="exact"/>
              <w:rPr>
                <w:rFonts w:ascii="ＭＳ 明朝" w:hAnsi="ＭＳ 明朝"/>
              </w:rPr>
            </w:pPr>
          </w:p>
        </w:tc>
        <w:tc>
          <w:tcPr>
            <w:tcW w:w="851" w:type="dxa"/>
          </w:tcPr>
          <w:p w14:paraId="7E17A6E0" w14:textId="77777777" w:rsidR="0051765B" w:rsidRPr="0033250F" w:rsidRDefault="0051765B" w:rsidP="00D7074E">
            <w:pPr>
              <w:spacing w:line="269" w:lineRule="exact"/>
              <w:rPr>
                <w:rFonts w:ascii="ＭＳ 明朝" w:hAnsi="ＭＳ 明朝"/>
              </w:rPr>
            </w:pPr>
          </w:p>
        </w:tc>
        <w:tc>
          <w:tcPr>
            <w:tcW w:w="911" w:type="dxa"/>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6D5E0D6E"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BD08D6">
        <w:rPr>
          <w:rFonts w:ascii="ＭＳ 明朝" w:hAnsi="ＭＳ 明朝"/>
          <w:lang w:eastAsia="zh-TW"/>
        </w:rPr>
        <w:t>四国経済産業局総務企画部長</w:t>
      </w:r>
      <w:r w:rsidRPr="00F5702D">
        <w:rPr>
          <w:rFonts w:ascii="ＭＳ 明朝" w:hAnsi="ＭＳ 明朝"/>
          <w:lang w:eastAsia="zh-TW"/>
        </w:rPr>
        <w:t xml:space="preserve">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5360C382"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BD08D6">
        <w:rPr>
          <w:rFonts w:ascii="ＭＳ 明朝" w:hAnsi="ＭＳ 明朝"/>
          <w:lang w:eastAsia="zh-TW"/>
        </w:rPr>
        <w:t>四国経済産業局総務企画部長</w:t>
      </w:r>
      <w:r w:rsidRPr="00F5702D">
        <w:rPr>
          <w:rFonts w:ascii="ＭＳ 明朝" w:hAnsi="ＭＳ 明朝"/>
          <w:lang w:eastAsia="zh-TW"/>
        </w:rPr>
        <w:t xml:space="preserve">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0048"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6353" id="Rectangle 25" o:spid="_x0000_s1026"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F908" id="Rectangle 26" o:spid="_x0000_s10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5222024" w:rsidR="0046424A" w:rsidRPr="000B5128" w:rsidRDefault="00BD08D6" w:rsidP="0046424A">
      <w:pPr>
        <w:overflowPunct w:val="0"/>
        <w:textAlignment w:val="baseline"/>
        <w:rPr>
          <w:rFonts w:ascii="ＭＳ 明朝" w:hAnsi="ＭＳ 明朝"/>
          <w:spacing w:val="2"/>
          <w:kern w:val="0"/>
          <w:szCs w:val="21"/>
          <w:lang w:eastAsia="zh-TW"/>
        </w:rPr>
      </w:pPr>
      <w:r>
        <w:rPr>
          <w:rFonts w:ascii="ＭＳ 明朝" w:hAnsi="ＭＳ 明朝" w:cs="ＭＳ 明朝" w:hint="eastAsia"/>
          <w:kern w:val="0"/>
          <w:szCs w:val="21"/>
          <w:lang w:eastAsia="zh-TW"/>
        </w:rPr>
        <w:t>四国経済産業局総務企画部長</w:t>
      </w:r>
      <w:r w:rsidR="0046424A" w:rsidRPr="000B5128">
        <w:rPr>
          <w:rFonts w:ascii="ＭＳ 明朝" w:hAnsi="ＭＳ 明朝" w:cs="ＭＳ 明朝" w:hint="eastAsia"/>
          <w:kern w:val="0"/>
          <w:szCs w:val="21"/>
          <w:lang w:eastAsia="zh-TW"/>
        </w:rPr>
        <w:t xml:space="preserve">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highlight w:val="yellow"/>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184357">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lastRenderedPageBreak/>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33B4B" id="Text Box 37" o:spid="_x0000_s1044"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0"/>
          <w:pgSz w:w="11906" w:h="16838" w:code="9"/>
          <w:pgMar w:top="1440" w:right="1077" w:bottom="1440" w:left="1077"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5"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1"/>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5"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tcPr>
          <w:p w14:paraId="68D14590" w14:textId="77777777" w:rsidR="00A76F35" w:rsidRPr="0038667A" w:rsidRDefault="00A76F35" w:rsidP="0038667A">
            <w:pPr>
              <w:widowControl/>
              <w:jc w:val="center"/>
              <w:rPr>
                <w:rFonts w:ascii="ＭＳ 明朝" w:hAnsi="ＭＳ 明朝"/>
                <w:sz w:val="24"/>
              </w:rPr>
            </w:pPr>
          </w:p>
        </w:tc>
        <w:tc>
          <w:tcPr>
            <w:tcW w:w="4536" w:type="dxa"/>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6"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6"/>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5"/>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7"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7"/>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2"/>
          <w:headerReference w:type="first" r:id="rId13"/>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8"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8"/>
    </w:p>
    <w:sectPr w:rsidR="00CA4F6B" w:rsidRPr="00CA4F6B" w:rsidSect="00CA4F6B">
      <w:pgSz w:w="16840" w:h="11907" w:code="9"/>
      <w:pgMar w:top="1021" w:right="794" w:bottom="720" w:left="79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9C21" w14:textId="77777777" w:rsidR="001067E8" w:rsidRDefault="001067E8" w:rsidP="00283D9B">
      <w:r>
        <w:separator/>
      </w:r>
    </w:p>
  </w:endnote>
  <w:endnote w:type="continuationSeparator" w:id="0">
    <w:p w14:paraId="6177D1A1" w14:textId="77777777" w:rsidR="001067E8" w:rsidRDefault="001067E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3938" w14:textId="77777777" w:rsidR="001067E8" w:rsidRDefault="001067E8" w:rsidP="00283D9B">
      <w:r>
        <w:separator/>
      </w:r>
    </w:p>
  </w:footnote>
  <w:footnote w:type="continuationSeparator" w:id="0">
    <w:p w14:paraId="3DE84B3B" w14:textId="77777777" w:rsidR="001067E8" w:rsidRDefault="001067E8"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3">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4F9" w14:textId="77777777" w:rsidR="009376F0" w:rsidRPr="00A71DFE" w:rsidRDefault="009376F0" w:rsidP="00A71DF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29404938" w:rsidR="0092307C" w:rsidRPr="00A71DFE" w:rsidRDefault="0092307C" w:rsidP="00A71DF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2245B613" w:rsidR="004371DB" w:rsidRPr="00A71DFE" w:rsidRDefault="004371DB" w:rsidP="00A71DF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95FAD"/>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067E8"/>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192F"/>
    <w:rsid w:val="00324A1A"/>
    <w:rsid w:val="00326895"/>
    <w:rsid w:val="00327405"/>
    <w:rsid w:val="0033250F"/>
    <w:rsid w:val="0033383B"/>
    <w:rsid w:val="00336292"/>
    <w:rsid w:val="003370F1"/>
    <w:rsid w:val="00337424"/>
    <w:rsid w:val="00337D16"/>
    <w:rsid w:val="00340464"/>
    <w:rsid w:val="0034689A"/>
    <w:rsid w:val="00354E70"/>
    <w:rsid w:val="00356D77"/>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3F7D47"/>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0DC"/>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5699"/>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61688"/>
    <w:rsid w:val="00A716B6"/>
    <w:rsid w:val="00A71B83"/>
    <w:rsid w:val="00A71DFE"/>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07C"/>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08D6"/>
    <w:rsid w:val="00BD1D4E"/>
    <w:rsid w:val="00BD399B"/>
    <w:rsid w:val="00BD3F78"/>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26F36"/>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531A"/>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61A86"/>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21309</Words>
  <Characters>2792</Characters>
  <Application>Microsoft Office Word</Application>
  <DocSecurity>0</DocSecurity>
  <Lines>23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24053</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2026-03-25T00:19:00Z</dcterms:created>
  <dcterms:modified xsi:type="dcterms:W3CDTF">2026-03-25T00:19:00Z</dcterms:modified>
</cp:coreProperties>
</file>